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highlight w:val="none"/>
        </w:rPr>
        <w:t>需求榜单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技术需求一：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项目名称：DFMC导航设备在复杂电磁环境下的信号体制与电磁兼容研究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发榜单位：中国商用飞机有限责任公司北京民用飞机技术研究中心</w:t>
      </w:r>
    </w:p>
    <w:p>
      <w:p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3、资金额度：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207万</w:t>
      </w:r>
    </w:p>
    <w:p>
      <w:p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4、技术难题介绍：</w:t>
      </w:r>
    </w:p>
    <w:p>
      <w:p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（1）需求背景</w:t>
      </w:r>
    </w:p>
    <w:p>
      <w:p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自卫星导航诞生之初，世界范围内出现了关于各种射频干扰源对GPS的干扰的零星报告，射频干扰大大影响了全球导航卫星系统的性能（准确性、可用性、连续性和完整性）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目前，国际上已提供服务或正在建设的卫星导航系统有美国的GPS系统、俄罗斯的GLONASS系统、中国的北斗系统以及欧盟的Galileo系统。北斗卫星导航系统是我国自主研制、建设和掌控的卫星导航系统，性能指标与GPS和Galileo相当，同时具备短报文通信能力。针对支持北斗的双频多星座（DFMC)导航设备需要重点考虑射频干扰问题，以北斗系统为突破口，开展设备在复杂电磁环境下的信号体制与电磁兼容研究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需求内容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通过分析国内外卫星导航电磁兼容相关工业标准，分析该项目的需求包括：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1）基于RTCA DO-235C、DO292标准，开展北斗B1C、B2a系统内和系统间干扰研究：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a)通过仿真、试验等方式开展北斗接收机频谱分离系数（spectral separation coefficient，SSC）分析、算法研究及计算工作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b)完成北斗接收机处理损耗（Receiver Implementation Loss）研究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c)完成北斗“关键”卫星论证(“关键”卫星的概念来自DO-245A，对于可用卫星几何结构，单个“关键”卫星的信号丢失或故障会影响用户保护级)，并基于该论证结果分析链路预算时，北斗噪声设置、噪声测试条件值，编制相关测试说明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d)对比GPS、GALILEO，总结北斗系统间系统内干扰方法，完成北斗受到的GNSS系统内和系统间干扰值计算。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2）基于RTCA DO-235C、DO292标准，开展北斗B1C、B2a链路预算工作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a)链路预算干扰输入分析：自干扰分量、连续航空干扰分量等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b)关键航空场景链路分析：针对北斗B1C、B2a分别开展不少于6个航空场景的链路分析，所选位置需包含热点位置，相关场景需涵盖精密进近场景、高纬度精密进近场景、航路飞行情景。链路分析工作需提供相关链路预算模型文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c)完成链路干扰相关的模型及其他关键参数计算方法研究报告，参数包括但不限于：脉冲消隐占空比、伪距跟踪精度、最小有效信噪比等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3）开展电磁兼容、射频干扰分析工作：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a)开展射频干扰源识别及北斗受扰性研究及仿真工作，需分析的射频干扰源包括但不限于机载设备、固定航空通信和导航发射器、相邻飞机、商业广播服务、其他固定和移动干扰源等。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b)根据DO-235C、DO-292，分析接收机敏感性降低，自适应空间（天线）处理，自适应时间过滤等各种方法，评估是否适用于北斗，开展针对北斗的其他的干扰缓方法分析，提出不少于1种北斗射频干扰缓解方法。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c)开展B2a信号体制研究，分析复合脉冲射频干扰对北斗B2a的影响，完成DME/TACAN、JITD/MIDS等对B2a信号的影响研究，分析DME/TACAN等脉冲干扰的最坏情况。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需求目标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完成DFMC导航设备在复杂电磁环境下的信号体制与电磁兼容研究，包括北斗B1C、B2a与其他GNSS卫星系统内和系统间干扰研究，链路预算工作以及电磁兼容、射频干扰分析等工作。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考核指标</w:t>
      </w:r>
    </w:p>
    <w:p>
      <w:pPr>
        <w:pStyle w:val="2"/>
        <w:rPr>
          <w:rFonts w:hint="eastAsia"/>
        </w:rPr>
      </w:pPr>
      <w:r>
        <w:rPr>
          <w:rFonts w:hint="eastAsia"/>
        </w:rPr>
        <w:t>承担方提供以下交付物：</w:t>
      </w:r>
    </w:p>
    <w:p>
      <w:pPr>
        <w:jc w:val="center"/>
        <w:rPr>
          <w:rFonts w:hint="eastAsia"/>
        </w:rPr>
      </w:pPr>
      <w:r>
        <w:rPr>
          <w:rFonts w:hint="eastAsia"/>
        </w:rPr>
        <w:t>表3 承担方需交付的交付物及技术指标要求</w:t>
      </w:r>
    </w:p>
    <w:tbl>
      <w:tblPr>
        <w:tblStyle w:val="5"/>
        <w:tblW w:w="7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017"/>
        <w:gridCol w:w="795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北斗接收机频谱分离系数研究报告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SSC</w:t>
            </w:r>
            <w:r>
              <w:rPr>
                <w:rFonts w:hint="eastAsia"/>
                <w:sz w:val="21"/>
              </w:rPr>
              <w:t>计算方法研究，并针对B1C、B2a完成SSC参数论证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北斗接收机处理损耗研究报告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针对B1C、B2a开展接收机处理损耗算法研究及参数计算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北斗关键卫星研究报告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针对GPS关键卫星概念开展北斗关键卫星研究，，并基于该论证结果分析链路预算时，北斗噪声设置、噪声测试条件值，并编制测试说明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北斗系统内及系统间干扰综合评估研究及仿真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套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其内容包含但不限于：系统内、系统间干扰算法分析，ADC对系统干扰的影响，北斗系统内、系统间总干扰计算的研究及部分参数的仿真验证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北斗B1C链路预算干扰输入分析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参数包括但不限于：包括自干扰分量、连续航空干扰分量、便携电子设备干扰分量等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北斗B2a链路预算干扰输入分析报告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参数包括但不限于：包括自干扰分量、连续航空干扰分量、便携电子设备干扰分量等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交付物7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北斗B1C链路预算报告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针对北斗B1C及BDSBAS开展不少于6个航空场景的链路分析，所选位置需包含热点位置，相关场景需涵盖精密进近场景、高纬度精密进近场景、航路飞行情景。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交付物8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北斗B2a链路预算报告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针对北斗B2a及BDSBAS开展不少于6个航空场景的链路分析，所选位置需包含热点位置，相关场景需涵盖精密进近场景、高纬度精密进近场景、航路飞行情景。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交付物9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链路预算参数计算方法研究报告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参数包括但不限于：脉冲消隐占空比、</w:t>
            </w:r>
            <w:r>
              <w:rPr>
                <w:rFonts w:hint="eastAsia"/>
                <w:color w:val="000000"/>
                <w:kern w:val="0"/>
                <w:sz w:val="21"/>
              </w:rPr>
              <w:t>伪距跟踪精度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交付物10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北斗B1C、B2a有效信噪比研究报告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参考RTCA DO-235C附录D,DO292附录D要求，完成B1C、B2a信噪比门限分析:接收机模型分析、卫星捕获信噪比分析等，并针对B</w:t>
            </w:r>
            <w:r>
              <w:rPr>
                <w:rFonts w:hint="default"/>
                <w:sz w:val="21"/>
              </w:rPr>
              <w:t>2</w:t>
            </w:r>
            <w:r>
              <w:rPr>
                <w:rFonts w:hint="eastAsia"/>
                <w:sz w:val="21"/>
              </w:rPr>
              <w:t>a研究接收机脉冲消隐模型、饱和脉冲影响等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交付物11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北斗B1C、B2a的干扰源分析及仿真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套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分析飞机上的发射器、固定航空通信和导航发射器、相邻飞机的干扰、商业广播服务、其他固定和移动干扰源等干扰源对北斗的影响，并完成相关仿真。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交付物12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GNSS</w:t>
            </w:r>
            <w:r>
              <w:rPr>
                <w:rFonts w:hint="eastAsia"/>
                <w:sz w:val="21"/>
              </w:rPr>
              <w:t>干扰缓解方法分析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Lines="0" w:afterLines="0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分析接收机敏感性降低，自适应空间（天线）处理，自适应时间过滤等各种方法，评估是否适用于北斗，开展针对北斗的其他的干扰缓方法分析，提出不少于1种北斗射频干扰缓解方法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交付物13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kern w:val="0"/>
                <w:sz w:val="21"/>
              </w:rPr>
              <w:t>复合脉冲射频干扰对北斗B2a的影响分析报告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分析B</w:t>
            </w:r>
            <w:r>
              <w:rPr>
                <w:rFonts w:hint="default"/>
                <w:sz w:val="21"/>
              </w:rPr>
              <w:t>2</w:t>
            </w:r>
            <w:r>
              <w:rPr>
                <w:rFonts w:hint="eastAsia"/>
                <w:sz w:val="21"/>
              </w:rPr>
              <w:t>a信号体制，针对脉冲干扰完成包括但不限于：DME/TACAN、JITD/MIDS对B2a信号的影响研究， BDS热点地图，DME/TACAN的最坏情况分析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交付物14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链路预算模型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套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北斗B1C、B2a链路预算模型代码、热点分析模型代码及相关过程数据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交付物1</w:t>
            </w:r>
            <w:r>
              <w:rPr>
                <w:rFonts w:hint="default"/>
                <w:sz w:val="21"/>
              </w:rPr>
              <w:t>5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</w:t>
            </w:r>
            <w:r>
              <w:rPr>
                <w:rFonts w:hint="default"/>
                <w:sz w:val="21"/>
              </w:rPr>
              <w:t>B1C</w:t>
            </w:r>
            <w:r>
              <w:rPr>
                <w:rFonts w:hint="eastAsia"/>
                <w:sz w:val="21"/>
              </w:rPr>
              <w:t>射频干扰评估总结报告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该文件需涵盖其他B</w:t>
            </w:r>
            <w:r>
              <w:rPr>
                <w:rFonts w:hint="default"/>
                <w:sz w:val="21"/>
              </w:rPr>
              <w:t>1C</w:t>
            </w:r>
            <w:r>
              <w:rPr>
                <w:rFonts w:hint="eastAsia"/>
                <w:sz w:val="21"/>
              </w:rPr>
              <w:t>相关交付物的内容总结，并根据甲方要求，提供该报告的附件报告</w:t>
            </w:r>
            <w:r>
              <w:rPr>
                <w:rFonts w:hint="eastAsia"/>
                <w:sz w:val="21"/>
                <w:lang w:eastAsia="zh-CN"/>
              </w:rPr>
              <w:t>，如测试仿真报告、补充参数研究等。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交付物1</w:t>
            </w:r>
            <w:r>
              <w:rPr>
                <w:rFonts w:hint="default"/>
                <w:sz w:val="21"/>
              </w:rPr>
              <w:t>6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北斗</w:t>
            </w:r>
            <w:r>
              <w:rPr>
                <w:rFonts w:hint="default"/>
                <w:sz w:val="21"/>
              </w:rPr>
              <w:t>B2</w:t>
            </w:r>
            <w:r>
              <w:rPr>
                <w:rFonts w:hint="eastAsia"/>
                <w:sz w:val="21"/>
              </w:rPr>
              <w:t>a射频干扰评估总结报告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份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该文件需涵盖其他B</w:t>
            </w:r>
            <w:r>
              <w:rPr>
                <w:rFonts w:hint="default"/>
                <w:sz w:val="21"/>
              </w:rPr>
              <w:t>2</w:t>
            </w:r>
            <w:r>
              <w:rPr>
                <w:rFonts w:hint="eastAsia"/>
                <w:sz w:val="21"/>
              </w:rPr>
              <w:t>a相关交付物的内容总结，并根据甲方要求，提供该报告的附件报告</w:t>
            </w:r>
            <w:r>
              <w:rPr>
                <w:rFonts w:hint="eastAsia"/>
                <w:sz w:val="21"/>
                <w:lang w:eastAsia="zh-CN"/>
              </w:rPr>
              <w:t>，如测试仿真报告、补充参数研究等。</w:t>
            </w:r>
          </w:p>
        </w:tc>
      </w:tr>
    </w:tbl>
    <w:p>
      <w:p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（5）产权归属等要求</w:t>
      </w:r>
    </w:p>
    <w:p>
      <w:pPr>
        <w:snapToGrid w:val="0"/>
        <w:spacing w:line="360" w:lineRule="auto"/>
        <w:ind w:firstLine="1280" w:firstLineChars="4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①产权归属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乙方或/和其研发人员利用甲方提供的技术资料、数据、科研经费以及其他物质条件（包括以甲方提供的科研经费购置的设施设备、资料等）所产生的研究开发成果及其相关专利、软件著作权等知识产权及该知识产权的申请权均归甲方所有。</w:t>
      </w:r>
    </w:p>
    <w:p>
      <w:pPr>
        <w:snapToGrid w:val="0"/>
        <w:spacing w:line="360" w:lineRule="auto"/>
        <w:ind w:firstLine="1280" w:firstLineChars="4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②利益分配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eastAsia="zh-CN"/>
        </w:rPr>
        <w:t>无。</w:t>
      </w:r>
    </w:p>
    <w:p>
      <w:pPr>
        <w:snapToGrid w:val="0"/>
        <w:spacing w:line="360" w:lineRule="auto"/>
        <w:ind w:firstLine="1280" w:firstLineChars="4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③时限要求</w:t>
      </w:r>
    </w:p>
    <w:tbl>
      <w:tblPr>
        <w:tblStyle w:val="5"/>
        <w:tblW w:w="7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60"/>
        <w:gridCol w:w="152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ind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ind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履约节点内容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ind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节点时间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ind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对应交付物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ind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北斗B1C、B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a系统内和系统间干扰初步研究</w:t>
            </w:r>
          </w:p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北斗B1C、B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a链路预算初步研究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default"/>
                <w:sz w:val="24"/>
              </w:rPr>
              <w:t>024.06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交付物1</w:t>
            </w:r>
            <w:r>
              <w:rPr>
                <w:rFonts w:hint="default"/>
                <w:sz w:val="24"/>
              </w:rPr>
              <w:t>-10</w:t>
            </w:r>
            <w:r>
              <w:rPr>
                <w:rFonts w:hint="eastAsia"/>
                <w:sz w:val="24"/>
              </w:rPr>
              <w:t>（初稿）</w:t>
            </w:r>
          </w:p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ind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完成北斗B1C、B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a的干扰源分析及射频干扰缓解研究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default"/>
                <w:sz w:val="24"/>
              </w:rPr>
              <w:t>024.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交付物</w:t>
            </w:r>
            <w:r>
              <w:rPr>
                <w:rFonts w:hint="eastAsia"/>
                <w:sz w:val="24"/>
                <w:lang w:val="en-US" w:eastAsia="zh-CN"/>
              </w:rPr>
              <w:t>1-4（终稿）</w:t>
            </w:r>
          </w:p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交付物10-12（终稿）</w:t>
            </w:r>
          </w:p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default"/>
                <w:sz w:val="24"/>
              </w:rPr>
              <w:t>交付物13-16</w:t>
            </w:r>
            <w:r>
              <w:rPr>
                <w:rFonts w:hint="eastAsia"/>
                <w:sz w:val="24"/>
                <w:lang w:eastAsia="zh-CN"/>
              </w:rPr>
              <w:t>（初稿）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ind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完成北斗B1C、B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a系统内和系统间干扰研究、北斗B1C、B</w:t>
            </w:r>
            <w:r>
              <w:rPr>
                <w:rFonts w:hint="default"/>
                <w:sz w:val="24"/>
              </w:rPr>
              <w:t>2a</w:t>
            </w:r>
            <w:r>
              <w:rPr>
                <w:rFonts w:hint="eastAsia"/>
                <w:sz w:val="24"/>
              </w:rPr>
              <w:t>链路预算及相关参数、链路预算模型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default"/>
                <w:sz w:val="24"/>
              </w:rPr>
              <w:t>024.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交付物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（终稿）</w:t>
            </w:r>
          </w:p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交付物1</w:t>
            </w:r>
            <w:r>
              <w:rPr>
                <w:rFonts w:hint="default"/>
                <w:sz w:val="24"/>
              </w:rPr>
              <w:t>3-16</w:t>
            </w:r>
            <w:r>
              <w:rPr>
                <w:rFonts w:hint="eastAsia"/>
                <w:sz w:val="24"/>
                <w:lang w:eastAsia="zh-CN"/>
              </w:rPr>
              <w:t>（终稿）</w:t>
            </w:r>
          </w:p>
          <w:p>
            <w:pPr>
              <w:pStyle w:val="6"/>
              <w:spacing w:beforeLines="0" w:afterLines="0" w:line="240" w:lineRule="auto"/>
              <w:ind w:firstLine="0" w:firstLineChars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snapToGrid w:val="0"/>
        <w:spacing w:line="360" w:lineRule="auto"/>
        <w:ind w:firstLine="1280" w:firstLineChars="4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联系人：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胡疋盈</w:t>
      </w:r>
    </w:p>
    <w:p>
      <w:pPr>
        <w:snapToGrid w:val="0"/>
        <w:spacing w:line="360" w:lineRule="auto"/>
        <w:ind w:firstLine="707" w:firstLineChars="221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联系方式：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18910395885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7323"/>
    <w:multiLevelType w:val="singleLevel"/>
    <w:tmpl w:val="15DC7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A7B919"/>
    <w:multiLevelType w:val="singleLevel"/>
    <w:tmpl w:val="5DA7B91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884763"/>
    <w:rsid w:val="281D365F"/>
    <w:rsid w:val="602A46E5"/>
    <w:rsid w:val="67F6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58"/>
      <w:jc w:val="left"/>
    </w:pPr>
    <w:rPr>
      <w:rFonts w:ascii="仿宋_GB2312" w:hAnsi="仿宋_GB2312"/>
      <w:kern w:val="0"/>
      <w:szCs w:val="32"/>
      <w:lang w:eastAsia="en-US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customStyle="1" w:styleId="6">
    <w:name w:val="标准文件_段"/>
    <w:unhideWhenUsed/>
    <w:qFormat/>
    <w:uiPriority w:val="0"/>
    <w:pPr>
      <w:widowControl w:val="0"/>
      <w:spacing w:beforeLines="0" w:afterLines="0" w:line="360" w:lineRule="auto"/>
      <w:ind w:firstLine="198" w:firstLineChars="200"/>
      <w:jc w:val="both"/>
    </w:pPr>
    <w:rPr>
      <w:rFonts w:hint="default" w:ascii="Times New Roman" w:hAnsi="Times New Roman" w:eastAsia="宋体" w:cs="Times New Roman"/>
      <w:kern w:val="2"/>
      <w:sz w:val="24"/>
      <w:lang w:val="en-US" w:eastAsia="zh-CN"/>
    </w:rPr>
  </w:style>
  <w:style w:type="paragraph" w:customStyle="1" w:styleId="7">
    <w:name w:val="Default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2024-01-26T08:12:00Z</dcterms:created>
  <dc:creator>吕嘉静</dc:creator>
  <cp:lastModifiedBy>胡疋盈</cp:lastModifiedBy>
  <dcterms:modified xsi:type="dcterms:W3CDTF">2024-03-18T08:12:18Z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